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640807" w:rsidRDefault="0017174C" w:rsidP="00640807">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03</w:t>
      </w:r>
      <w:r w:rsidR="00671473">
        <w:rPr>
          <w:rFonts w:ascii="Malgun Gothic Semilight" w:eastAsia="Malgun Gothic Semilight" w:hAnsi="Malgun Gothic Semilight" w:cs="Malgun Gothic Semilight"/>
          <w:color w:val="7030A0"/>
          <w:sz w:val="28"/>
          <w:szCs w:val="28"/>
        </w:rPr>
        <w:t>/05/2019</w:t>
      </w:r>
      <w:r w:rsidR="009C1C86">
        <w:rPr>
          <w:rFonts w:ascii="Malgun Gothic Semilight" w:eastAsia="Malgun Gothic Semilight" w:hAnsi="Malgun Gothic Semilight" w:cs="Malgun Gothic Semilight"/>
          <w:color w:val="7030A0"/>
          <w:sz w:val="28"/>
          <w:szCs w:val="28"/>
        </w:rPr>
        <w:t xml:space="preserve"> </w:t>
      </w:r>
    </w:p>
    <w:p w:rsidR="0017174C" w:rsidRPr="00640807" w:rsidRDefault="0017174C" w:rsidP="00640807">
      <w:pPr>
        <w:spacing w:after="0" w:line="240" w:lineRule="auto"/>
        <w:jc w:val="center"/>
        <w:rPr>
          <w:rFonts w:ascii="Malgun Gothic Semilight" w:eastAsia="Malgun Gothic Semilight" w:hAnsi="Malgun Gothic Semilight" w:cs="Malgun Gothic Semilight"/>
          <w:color w:val="7030A0"/>
          <w:sz w:val="28"/>
          <w:szCs w:val="28"/>
        </w:rPr>
      </w:pPr>
      <w:r w:rsidRPr="00640807">
        <w:rPr>
          <w:rFonts w:ascii="Malgun Gothic Semilight" w:eastAsia="Malgun Gothic Semilight" w:hAnsi="Malgun Gothic Semilight" w:cs="Malgun Gothic Semilight"/>
          <w:b/>
          <w:color w:val="7030A0"/>
          <w:sz w:val="72"/>
          <w:szCs w:val="72"/>
          <w:u w:val="single"/>
        </w:rPr>
        <w:t>PTS Logistics</w:t>
      </w:r>
    </w:p>
    <w:p w:rsidR="0017174C" w:rsidRDefault="0017174C" w:rsidP="0017174C">
      <w:pPr>
        <w:spacing w:after="0" w:line="240" w:lineRule="auto"/>
        <w:rPr>
          <w:rFonts w:ascii="Malgun Gothic Semilight" w:eastAsia="Malgun Gothic Semilight" w:hAnsi="Malgun Gothic Semilight" w:cs="Malgun Gothic Semilight"/>
          <w:color w:val="7030A0"/>
          <w:sz w:val="32"/>
          <w:szCs w:val="32"/>
        </w:rPr>
      </w:pPr>
    </w:p>
    <w:p w:rsidR="00640807" w:rsidRPr="00640807" w:rsidRDefault="0017174C"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 xml:space="preserve">UNISON Yorkshire Ambulance Branch is currently supporting our members who work within PTS Logistics. Monday morning members in the south were told that their current workplace would be closing and all of them would be required to move up to Wakefield Headquarters, whilst all members at both Wakefield and the current south Office were told that their rotas would also be changing. </w:t>
      </w:r>
    </w:p>
    <w:p w:rsidR="00640807" w:rsidRPr="00640807" w:rsidRDefault="00640807" w:rsidP="00640807">
      <w:pPr>
        <w:spacing w:after="0" w:line="240" w:lineRule="auto"/>
        <w:jc w:val="both"/>
        <w:rPr>
          <w:rFonts w:ascii="Arial" w:eastAsia="Malgun Gothic Semilight" w:hAnsi="Arial" w:cs="Arial"/>
          <w:color w:val="7030A0"/>
          <w:sz w:val="28"/>
          <w:szCs w:val="28"/>
        </w:rPr>
      </w:pPr>
    </w:p>
    <w:p w:rsidR="0017174C" w:rsidRPr="00640807" w:rsidRDefault="00C36BA8"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Some of</w:t>
      </w:r>
      <w:r w:rsidR="00640807" w:rsidRPr="00640807">
        <w:rPr>
          <w:rFonts w:ascii="Arial" w:eastAsia="Malgun Gothic Semilight" w:hAnsi="Arial" w:cs="Arial"/>
          <w:color w:val="7030A0"/>
          <w:sz w:val="28"/>
          <w:szCs w:val="28"/>
        </w:rPr>
        <w:t xml:space="preserve"> the changes to rotas that we have seen from </w:t>
      </w:r>
      <w:r w:rsidRPr="00640807">
        <w:rPr>
          <w:rFonts w:ascii="Arial" w:eastAsia="Malgun Gothic Semilight" w:hAnsi="Arial" w:cs="Arial"/>
          <w:color w:val="7030A0"/>
          <w:sz w:val="28"/>
          <w:szCs w:val="28"/>
        </w:rPr>
        <w:t xml:space="preserve">our </w:t>
      </w:r>
      <w:r w:rsidR="00640807" w:rsidRPr="00640807">
        <w:rPr>
          <w:rFonts w:ascii="Arial" w:eastAsia="Malgun Gothic Semilight" w:hAnsi="Arial" w:cs="Arial"/>
          <w:color w:val="7030A0"/>
          <w:sz w:val="28"/>
          <w:szCs w:val="28"/>
        </w:rPr>
        <w:t>Wakefield members</w:t>
      </w:r>
      <w:r w:rsidRPr="00640807">
        <w:rPr>
          <w:rFonts w:ascii="Arial" w:eastAsia="Malgun Gothic Semilight" w:hAnsi="Arial" w:cs="Arial"/>
          <w:color w:val="7030A0"/>
          <w:sz w:val="28"/>
          <w:szCs w:val="28"/>
        </w:rPr>
        <w:t xml:space="preserve"> will put them in an extremely difficult situation</w:t>
      </w:r>
      <w:r w:rsidR="00640807" w:rsidRPr="00640807">
        <w:rPr>
          <w:rFonts w:ascii="Arial" w:eastAsia="Malgun Gothic Semilight" w:hAnsi="Arial" w:cs="Arial"/>
          <w:color w:val="7030A0"/>
          <w:sz w:val="28"/>
          <w:szCs w:val="28"/>
        </w:rPr>
        <w:t xml:space="preserve"> due to carer responsibilities and have an extremely negative impact on their lives outside of work. With concerns raised at to what ‘gains’ the Trust would make by imposing the changes. </w:t>
      </w:r>
    </w:p>
    <w:p w:rsidR="0017174C" w:rsidRPr="00640807" w:rsidRDefault="0017174C" w:rsidP="00640807">
      <w:pPr>
        <w:spacing w:after="0" w:line="240" w:lineRule="auto"/>
        <w:jc w:val="both"/>
        <w:rPr>
          <w:rFonts w:ascii="Arial" w:eastAsia="Malgun Gothic Semilight" w:hAnsi="Arial" w:cs="Arial"/>
          <w:color w:val="7030A0"/>
          <w:sz w:val="28"/>
          <w:szCs w:val="28"/>
        </w:rPr>
      </w:pPr>
    </w:p>
    <w:p w:rsidR="0017174C" w:rsidRPr="00640807" w:rsidRDefault="0017174C"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UNISON fundamentally disagrees with the poor reasoning given by PTS Management behind the proposed centralisation of the PTS Logistics, and putting aside the extra</w:t>
      </w:r>
      <w:r w:rsidR="00C36BA8" w:rsidRPr="00640807">
        <w:rPr>
          <w:rFonts w:ascii="Arial" w:eastAsia="Malgun Gothic Semilight" w:hAnsi="Arial" w:cs="Arial"/>
          <w:color w:val="7030A0"/>
          <w:sz w:val="28"/>
          <w:szCs w:val="28"/>
        </w:rPr>
        <w:t xml:space="preserve"> stress </w:t>
      </w:r>
      <w:r w:rsidRPr="00640807">
        <w:rPr>
          <w:rFonts w:ascii="Arial" w:eastAsia="Malgun Gothic Semilight" w:hAnsi="Arial" w:cs="Arial"/>
          <w:color w:val="7030A0"/>
          <w:sz w:val="28"/>
          <w:szCs w:val="28"/>
        </w:rPr>
        <w:t xml:space="preserve">and </w:t>
      </w:r>
      <w:r w:rsidR="00C36BA8" w:rsidRPr="00640807">
        <w:rPr>
          <w:rFonts w:ascii="Arial" w:eastAsia="Malgun Gothic Semilight" w:hAnsi="Arial" w:cs="Arial"/>
          <w:color w:val="7030A0"/>
          <w:sz w:val="28"/>
          <w:szCs w:val="28"/>
        </w:rPr>
        <w:t xml:space="preserve">effect on </w:t>
      </w:r>
      <w:r w:rsidRPr="00640807">
        <w:rPr>
          <w:rFonts w:ascii="Arial" w:eastAsia="Malgun Gothic Semilight" w:hAnsi="Arial" w:cs="Arial"/>
          <w:color w:val="7030A0"/>
          <w:sz w:val="28"/>
          <w:szCs w:val="28"/>
        </w:rPr>
        <w:t xml:space="preserve">work life balance issues will cost the Trust upwards of £300,000 in mileage costs alone, even before redundancies are factored in. </w:t>
      </w:r>
    </w:p>
    <w:p w:rsidR="0017174C" w:rsidRPr="00640807" w:rsidRDefault="0017174C" w:rsidP="00640807">
      <w:pPr>
        <w:spacing w:after="0" w:line="240" w:lineRule="auto"/>
        <w:jc w:val="both"/>
        <w:rPr>
          <w:rFonts w:ascii="Arial" w:eastAsia="Malgun Gothic Semilight" w:hAnsi="Arial" w:cs="Arial"/>
          <w:color w:val="7030A0"/>
          <w:sz w:val="28"/>
          <w:szCs w:val="28"/>
        </w:rPr>
      </w:pPr>
    </w:p>
    <w:p w:rsidR="00C36BA8" w:rsidRPr="00640807" w:rsidRDefault="0017174C"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It is clear from speaking to our members in the south that they have been</w:t>
      </w:r>
      <w:r w:rsidR="00C36BA8" w:rsidRPr="00640807">
        <w:rPr>
          <w:rFonts w:ascii="Arial" w:eastAsia="Malgun Gothic Semilight" w:hAnsi="Arial" w:cs="Arial"/>
          <w:color w:val="7030A0"/>
          <w:sz w:val="28"/>
          <w:szCs w:val="28"/>
        </w:rPr>
        <w:t xml:space="preserve"> meeting the required KPIs, which if moved could undermine their excellent work. </w:t>
      </w:r>
      <w:r w:rsidRPr="00640807">
        <w:rPr>
          <w:rFonts w:ascii="Arial" w:eastAsia="Malgun Gothic Semilight" w:hAnsi="Arial" w:cs="Arial"/>
          <w:color w:val="7030A0"/>
          <w:sz w:val="28"/>
          <w:szCs w:val="28"/>
        </w:rPr>
        <w:t xml:space="preserve"> </w:t>
      </w:r>
      <w:r w:rsidR="00C36BA8" w:rsidRPr="00640807">
        <w:rPr>
          <w:rFonts w:ascii="Arial" w:eastAsia="Malgun Gothic Semilight" w:hAnsi="Arial" w:cs="Arial"/>
          <w:color w:val="7030A0"/>
          <w:sz w:val="28"/>
          <w:szCs w:val="28"/>
        </w:rPr>
        <w:t xml:space="preserve">The move would also create a resilience issue, as having only one operational location is a major risk to business continuity. Aside from this by having a singular location, the recruitment pool is vastly reduced, and parking which is already above capacity at Wakefield HQ will be further stretched. </w:t>
      </w:r>
    </w:p>
    <w:p w:rsidR="00C36BA8" w:rsidRPr="00640807" w:rsidRDefault="00C36BA8" w:rsidP="00640807">
      <w:pPr>
        <w:spacing w:after="0" w:line="240" w:lineRule="auto"/>
        <w:jc w:val="both"/>
        <w:rPr>
          <w:rFonts w:ascii="Arial" w:eastAsia="Malgun Gothic Semilight" w:hAnsi="Arial" w:cs="Arial"/>
          <w:color w:val="7030A0"/>
          <w:sz w:val="28"/>
          <w:szCs w:val="28"/>
        </w:rPr>
      </w:pPr>
    </w:p>
    <w:p w:rsidR="00C36BA8" w:rsidRPr="00640807" w:rsidRDefault="00C36BA8"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 xml:space="preserve">UNISON will be in touch with the relevant clinical commissioning groups to ensure that they are fully aware of the proposals and highlight our concerns. </w:t>
      </w:r>
      <w:r w:rsidR="00802AE7" w:rsidRPr="00640807">
        <w:rPr>
          <w:rFonts w:ascii="Arial" w:eastAsia="Malgun Gothic Semilight" w:hAnsi="Arial" w:cs="Arial"/>
          <w:color w:val="7030A0"/>
          <w:sz w:val="28"/>
          <w:szCs w:val="28"/>
        </w:rPr>
        <w:t xml:space="preserve">   </w:t>
      </w:r>
    </w:p>
    <w:p w:rsidR="0017174C" w:rsidRPr="00640807" w:rsidRDefault="00802AE7" w:rsidP="00640807">
      <w:pPr>
        <w:spacing w:after="0" w:line="240" w:lineRule="auto"/>
        <w:jc w:val="both"/>
        <w:rPr>
          <w:rFonts w:ascii="Arial" w:eastAsia="Malgun Gothic Semilight" w:hAnsi="Arial" w:cs="Arial"/>
          <w:color w:val="7030A0"/>
          <w:sz w:val="28"/>
          <w:szCs w:val="28"/>
        </w:rPr>
      </w:pPr>
      <w:r w:rsidRPr="00640807">
        <w:rPr>
          <w:rFonts w:ascii="Arial" w:eastAsia="Malgun Gothic Semilight" w:hAnsi="Arial" w:cs="Arial"/>
          <w:color w:val="7030A0"/>
          <w:sz w:val="28"/>
          <w:szCs w:val="28"/>
        </w:rPr>
        <w:t xml:space="preserve">                                                                                                                                                                                                                                                                                                                                                                                                                                                                                                                                                                                                                                                                                                                                                                                                                                                                                                                                                                                                                                                                                                                                                                                                                                                                                                                                                                                                                                                                                                                                                                                                                                                                                                                                                                                                                                                                                                                                       </w:t>
      </w:r>
    </w:p>
    <w:p w:rsidR="00671473" w:rsidRPr="00640807" w:rsidRDefault="00671473" w:rsidP="00640807">
      <w:pPr>
        <w:spacing w:after="0" w:line="240" w:lineRule="auto"/>
        <w:jc w:val="both"/>
        <w:rPr>
          <w:rFonts w:ascii="Arial" w:eastAsia="Malgun Gothic Semilight" w:hAnsi="Arial" w:cs="Arial"/>
          <w:color w:val="7030A0"/>
          <w:sz w:val="28"/>
          <w:szCs w:val="28"/>
        </w:rPr>
      </w:pPr>
    </w:p>
    <w:p w:rsidR="00671473" w:rsidRPr="00640807" w:rsidRDefault="00671473" w:rsidP="00671473">
      <w:pPr>
        <w:spacing w:after="0" w:line="240" w:lineRule="auto"/>
        <w:rPr>
          <w:rFonts w:ascii="Arial" w:eastAsia="Malgun Gothic Semilight" w:hAnsi="Arial" w:cs="Arial"/>
          <w:color w:val="7030A0"/>
          <w:sz w:val="28"/>
          <w:szCs w:val="28"/>
        </w:rPr>
      </w:pPr>
    </w:p>
    <w:sectPr w:rsidR="00671473" w:rsidRPr="00640807" w:rsidSect="00D366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B4" w:rsidRDefault="003C2DB4" w:rsidP="009C1C86">
      <w:pPr>
        <w:spacing w:after="0" w:line="240" w:lineRule="auto"/>
      </w:pPr>
      <w:r>
        <w:separator/>
      </w:r>
    </w:p>
  </w:endnote>
  <w:endnote w:type="continuationSeparator" w:id="0">
    <w:p w:rsidR="003C2DB4" w:rsidRDefault="003C2DB4"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hyperlink r:id="rId2" w:history="1">
      <w:r w:rsidRPr="00312003">
        <w:rPr>
          <w:rStyle w:val="Hyperlink"/>
          <w:rFonts w:ascii="Arial" w:hAnsi="Arial" w:cs="Arial"/>
          <w:b/>
          <w:sz w:val="20"/>
          <w:szCs w:val="20"/>
        </w:rPr>
        <w:t>unison@yas.nhs.uk</w:t>
      </w:r>
    </w:hyperlink>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B4" w:rsidRDefault="003C2DB4" w:rsidP="009C1C86">
      <w:pPr>
        <w:spacing w:after="0" w:line="240" w:lineRule="auto"/>
      </w:pPr>
      <w:r>
        <w:separator/>
      </w:r>
    </w:p>
  </w:footnote>
  <w:footnote w:type="continuationSeparator" w:id="0">
    <w:p w:rsidR="003C2DB4" w:rsidRDefault="003C2DB4"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B"/>
    <w:multiLevelType w:val="hybridMultilevel"/>
    <w:tmpl w:val="2F3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2029"/>
    <w:rsid w:val="00026673"/>
    <w:rsid w:val="00087A8E"/>
    <w:rsid w:val="000F4C9F"/>
    <w:rsid w:val="0011596F"/>
    <w:rsid w:val="00121C4E"/>
    <w:rsid w:val="00123CD0"/>
    <w:rsid w:val="0017174C"/>
    <w:rsid w:val="001F608C"/>
    <w:rsid w:val="00290505"/>
    <w:rsid w:val="002B0717"/>
    <w:rsid w:val="0034393C"/>
    <w:rsid w:val="003C2DB4"/>
    <w:rsid w:val="004D191F"/>
    <w:rsid w:val="00555AA9"/>
    <w:rsid w:val="00556045"/>
    <w:rsid w:val="00565810"/>
    <w:rsid w:val="005D33CD"/>
    <w:rsid w:val="00640807"/>
    <w:rsid w:val="00654140"/>
    <w:rsid w:val="00671473"/>
    <w:rsid w:val="006973E4"/>
    <w:rsid w:val="006C5C23"/>
    <w:rsid w:val="006E6C46"/>
    <w:rsid w:val="007135D0"/>
    <w:rsid w:val="00781975"/>
    <w:rsid w:val="00802AE7"/>
    <w:rsid w:val="00900F03"/>
    <w:rsid w:val="00983E54"/>
    <w:rsid w:val="009C1C86"/>
    <w:rsid w:val="009D41E4"/>
    <w:rsid w:val="009F27D0"/>
    <w:rsid w:val="00A52F1D"/>
    <w:rsid w:val="00B10492"/>
    <w:rsid w:val="00B12B65"/>
    <w:rsid w:val="00C36BA8"/>
    <w:rsid w:val="00D344AE"/>
    <w:rsid w:val="00D36683"/>
    <w:rsid w:val="00DD0A78"/>
    <w:rsid w:val="00E24FB4"/>
    <w:rsid w:val="00E94171"/>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unison@yas.nhs.uk" TargetMode="External"/><Relationship Id="rId1" Type="http://schemas.openxmlformats.org/officeDocument/2006/relationships/hyperlink" Target="http://www.uy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1E2C-C66C-4546-AE01-EFFCDC63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2019-05-02T13:15:00Z</cp:lastPrinted>
  <dcterms:created xsi:type="dcterms:W3CDTF">2019-05-03T15:51:00Z</dcterms:created>
  <dcterms:modified xsi:type="dcterms:W3CDTF">2019-05-03T15:51:00Z</dcterms:modified>
</cp:coreProperties>
</file>