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11" w:rsidRDefault="00C37B5D" w:rsidP="00504B11">
      <w:pPr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14</w:t>
      </w:r>
      <w:r w:rsidR="004947AE">
        <w:rPr>
          <w:b/>
          <w:sz w:val="24"/>
          <w:szCs w:val="24"/>
          <w:u w:val="single"/>
          <w:vertAlign w:val="superscript"/>
        </w:rPr>
        <w:t>th</w:t>
      </w:r>
      <w:r w:rsidR="002779C2">
        <w:rPr>
          <w:b/>
          <w:sz w:val="24"/>
          <w:szCs w:val="24"/>
          <w:u w:val="single"/>
        </w:rPr>
        <w:t xml:space="preserve"> August</w:t>
      </w:r>
      <w:r w:rsidR="00EF184C" w:rsidRPr="00EF184C">
        <w:rPr>
          <w:b/>
          <w:sz w:val="24"/>
          <w:szCs w:val="24"/>
          <w:u w:val="single"/>
        </w:rPr>
        <w:t xml:space="preserve"> 2019</w:t>
      </w:r>
    </w:p>
    <w:p w:rsidR="00090565" w:rsidRPr="00504B11" w:rsidRDefault="00C37B5D" w:rsidP="00504B11">
      <w:pPr>
        <w:jc w:val="center"/>
        <w:rPr>
          <w:b/>
          <w:sz w:val="24"/>
          <w:szCs w:val="24"/>
          <w:u w:val="single"/>
        </w:rPr>
      </w:pPr>
      <w:r w:rsidRPr="00C37B5D">
        <w:rPr>
          <w:rFonts w:ascii="Arial" w:hAnsi="Arial" w:cs="Arial"/>
          <w:b/>
          <w:color w:val="FF0000"/>
          <w:sz w:val="52"/>
          <w:szCs w:val="52"/>
          <w:u w:val="single"/>
        </w:rPr>
        <w:t>UNISON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37B5D" w:rsidTr="00C37B5D">
        <w:tc>
          <w:tcPr>
            <w:tcW w:w="5341" w:type="dxa"/>
          </w:tcPr>
          <w:p w:rsidR="00C37B5D" w:rsidRDefault="00C37B5D" w:rsidP="00C37B5D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C37B5D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LAT Scope of Practice</w:t>
            </w:r>
          </w:p>
          <w:p w:rsidR="00C37B5D" w:rsidRDefault="00C37B5D" w:rsidP="00C37B5D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</w:p>
          <w:p w:rsidR="00C37B5D" w:rsidRPr="00C37B5D" w:rsidRDefault="00C37B5D" w:rsidP="00276266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37B5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After some excellent feedback from members, the LAT Scope of Practice (SoP) has now been agreed and should be rolled out across the county shortly. The SoP </w:t>
            </w:r>
            <w:r w:rsidR="00276266">
              <w:rPr>
                <w:rFonts w:ascii="Arial" w:hAnsi="Arial" w:cs="Arial"/>
                <w:color w:val="000000" w:themeColor="text1"/>
                <w:sz w:val="28"/>
                <w:szCs w:val="28"/>
              </w:rPr>
              <w:t>should</w:t>
            </w:r>
            <w:r w:rsidRPr="00C37B5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ensure consistency across the area and clear guidelines of what is expected when working in this role. </w:t>
            </w:r>
            <w:r w:rsidR="0027626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3 month review date has been set to ensure the SoP is working as expected; once again feedback from members will be vital after the SoP goes live. </w:t>
            </w:r>
          </w:p>
        </w:tc>
        <w:tc>
          <w:tcPr>
            <w:tcW w:w="5341" w:type="dxa"/>
          </w:tcPr>
          <w:p w:rsidR="00C37B5D" w:rsidRPr="00276266" w:rsidRDefault="00C37B5D" w:rsidP="00C37B5D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276266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End of shift Overtime</w:t>
            </w:r>
          </w:p>
          <w:p w:rsidR="00C37B5D" w:rsidRPr="00276266" w:rsidRDefault="00C37B5D" w:rsidP="00C37B5D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</w:p>
          <w:p w:rsidR="004E0529" w:rsidRDefault="004E0529" w:rsidP="004E0529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Yet again UNISON has raised its concerns over excessive end of shift overtime. </w:t>
            </w:r>
          </w:p>
          <w:p w:rsidR="00C37B5D" w:rsidRDefault="00C37B5D" w:rsidP="004E0529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76266">
              <w:rPr>
                <w:rFonts w:ascii="Arial" w:hAnsi="Arial" w:cs="Arial"/>
                <w:color w:val="000000" w:themeColor="text1"/>
                <w:sz w:val="28"/>
                <w:szCs w:val="28"/>
              </w:rPr>
              <w:t>UNISON has been challenging</w:t>
            </w:r>
            <w:r w:rsidR="0027626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the Trust for a number of months</w:t>
            </w:r>
            <w:r w:rsidRPr="0027626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provide a more robust end of shift policy that protects members from excessive working beyond their contracted hours. </w:t>
            </w:r>
          </w:p>
          <w:p w:rsidR="004E0529" w:rsidRPr="00C37B5D" w:rsidRDefault="004E0529" w:rsidP="004E0529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The Trust has a proposal that they wish to share with staff side and are looking to arrange meetings to negotiate further. </w:t>
            </w:r>
          </w:p>
        </w:tc>
      </w:tr>
      <w:tr w:rsidR="00C37B5D" w:rsidTr="00C37B5D">
        <w:tc>
          <w:tcPr>
            <w:tcW w:w="5341" w:type="dxa"/>
          </w:tcPr>
          <w:p w:rsidR="00C37B5D" w:rsidRDefault="004E0529" w:rsidP="00C37B5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</w:pPr>
            <w:r w:rsidRPr="004E0529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NQP</w:t>
            </w:r>
          </w:p>
          <w:p w:rsidR="004E0529" w:rsidRPr="003A4A8C" w:rsidRDefault="004E0529" w:rsidP="00C37B5D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E0529" w:rsidRDefault="004E0529" w:rsidP="004E0529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UNISON has been informed that nationally there is a plan to review the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newly qualified paramedic </w:t>
            </w:r>
            <w:r w:rsidRPr="004E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requirements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that are needed to</w:t>
            </w:r>
            <w:r w:rsidRPr="004E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fast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</w:t>
            </w:r>
            <w:r w:rsidRPr="004E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rack through the process. </w:t>
            </w:r>
          </w:p>
          <w:p w:rsidR="004E0529" w:rsidRPr="004E0529" w:rsidRDefault="004E0529" w:rsidP="004E0529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0529">
              <w:rPr>
                <w:rFonts w:ascii="Arial" w:hAnsi="Arial" w:cs="Arial"/>
                <w:color w:val="000000" w:themeColor="text1"/>
                <w:sz w:val="28"/>
                <w:szCs w:val="28"/>
              </w:rPr>
              <w:t>This appears to be specifically around the mentoring qualifications. UNISON will keep membe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rs up to date with developments. </w:t>
            </w:r>
            <w:r w:rsidRPr="004E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4E0529" w:rsidRPr="004E0529" w:rsidRDefault="004E0529" w:rsidP="004E0529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E0529" w:rsidRDefault="004E0529" w:rsidP="004E0529">
            <w:pPr>
              <w:rPr>
                <w:rFonts w:ascii="Arial" w:hAnsi="Arial" w:cs="Arial"/>
                <w:b/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341" w:type="dxa"/>
          </w:tcPr>
          <w:p w:rsidR="00C37B5D" w:rsidRDefault="004E0529" w:rsidP="00C37B5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4E0529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Temporary Injury </w:t>
            </w:r>
            <w:proofErr w:type="spellStart"/>
            <w:r w:rsidRPr="004E0529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Allowence</w:t>
            </w:r>
            <w:proofErr w:type="spellEnd"/>
          </w:p>
          <w:p w:rsidR="004E0529" w:rsidRDefault="004E0529" w:rsidP="00C37B5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</w:p>
          <w:p w:rsidR="004E0529" w:rsidRPr="00504B11" w:rsidRDefault="00504B11" w:rsidP="00504B11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4B11">
              <w:rPr>
                <w:rFonts w:ascii="Arial" w:hAnsi="Arial" w:cs="Arial"/>
                <w:color w:val="000000" w:themeColor="text1"/>
                <w:sz w:val="28"/>
                <w:szCs w:val="28"/>
              </w:rPr>
              <w:t>At the recent Operational Joint Steering Group (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Ops JSG), UNISON asked the T</w:t>
            </w:r>
            <w:r w:rsidRPr="00504B11">
              <w:rPr>
                <w:rFonts w:ascii="Arial" w:hAnsi="Arial" w:cs="Arial"/>
                <w:color w:val="000000" w:themeColor="text1"/>
                <w:sz w:val="28"/>
                <w:szCs w:val="28"/>
              </w:rPr>
              <w:t>rust to confirm the current position on TIA and its effect on an individual’s sickness record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</w:t>
            </w:r>
            <w:r w:rsidRPr="00504B1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should the injury be agreed as an industrial injury. </w:t>
            </w:r>
          </w:p>
          <w:p w:rsidR="00504B11" w:rsidRPr="00504B11" w:rsidRDefault="00504B11" w:rsidP="00504B11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04B11" w:rsidRPr="004E0529" w:rsidRDefault="00504B11" w:rsidP="00504B11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504B11">
              <w:rPr>
                <w:rFonts w:ascii="Arial" w:hAnsi="Arial" w:cs="Arial"/>
                <w:color w:val="000000" w:themeColor="text1"/>
                <w:sz w:val="28"/>
                <w:szCs w:val="28"/>
              </w:rPr>
              <w:t>It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was confirmed that the current</w:t>
            </w:r>
            <w:r w:rsidRPr="00504B1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local agreement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is still in place</w:t>
            </w:r>
            <w:r w:rsidRPr="00504B1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and should an episode of sickness be accepted as industrial injury it wouldn’t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be used as a trigger.</w:t>
            </w:r>
          </w:p>
        </w:tc>
      </w:tr>
    </w:tbl>
    <w:p w:rsidR="00C37B5D" w:rsidRPr="00C37B5D" w:rsidRDefault="00C37B5D" w:rsidP="00C37B5D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</w:p>
    <w:sectPr w:rsidR="00C37B5D" w:rsidRPr="00C37B5D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E3" w:rsidRDefault="00194CE3" w:rsidP="00E904CD">
      <w:pPr>
        <w:spacing w:after="0" w:line="240" w:lineRule="auto"/>
      </w:pPr>
      <w:r>
        <w:separator/>
      </w:r>
    </w:p>
  </w:endnote>
  <w:endnote w:type="continuationSeparator" w:id="0">
    <w:p w:rsidR="00194CE3" w:rsidRDefault="00194CE3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E3" w:rsidRDefault="00194CE3" w:rsidP="00E904CD">
      <w:pPr>
        <w:spacing w:after="0" w:line="240" w:lineRule="auto"/>
      </w:pPr>
      <w:r>
        <w:separator/>
      </w:r>
    </w:p>
  </w:footnote>
  <w:footnote w:type="continuationSeparator" w:id="0">
    <w:p w:rsidR="00194CE3" w:rsidRDefault="00194CE3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090565"/>
    <w:rsid w:val="00194CE3"/>
    <w:rsid w:val="002301E8"/>
    <w:rsid w:val="00243879"/>
    <w:rsid w:val="002714B7"/>
    <w:rsid w:val="00276266"/>
    <w:rsid w:val="002779C2"/>
    <w:rsid w:val="0034653A"/>
    <w:rsid w:val="003A195D"/>
    <w:rsid w:val="003A4A8C"/>
    <w:rsid w:val="003D5C4A"/>
    <w:rsid w:val="00432584"/>
    <w:rsid w:val="00446411"/>
    <w:rsid w:val="004947AE"/>
    <w:rsid w:val="004C79A8"/>
    <w:rsid w:val="004D49B2"/>
    <w:rsid w:val="004E0529"/>
    <w:rsid w:val="00504B11"/>
    <w:rsid w:val="00592652"/>
    <w:rsid w:val="005F0D74"/>
    <w:rsid w:val="005F2396"/>
    <w:rsid w:val="006610EC"/>
    <w:rsid w:val="00701720"/>
    <w:rsid w:val="00897E8A"/>
    <w:rsid w:val="008A7B44"/>
    <w:rsid w:val="00905B13"/>
    <w:rsid w:val="00A25208"/>
    <w:rsid w:val="00A33A9E"/>
    <w:rsid w:val="00AF1DCA"/>
    <w:rsid w:val="00B11D4A"/>
    <w:rsid w:val="00B572F1"/>
    <w:rsid w:val="00C37B5D"/>
    <w:rsid w:val="00C52A41"/>
    <w:rsid w:val="00C806F5"/>
    <w:rsid w:val="00DA6E4E"/>
    <w:rsid w:val="00DD1FA0"/>
    <w:rsid w:val="00DD3BD7"/>
    <w:rsid w:val="00DD49EB"/>
    <w:rsid w:val="00E005D4"/>
    <w:rsid w:val="00E44645"/>
    <w:rsid w:val="00E702F2"/>
    <w:rsid w:val="00E904CD"/>
    <w:rsid w:val="00ED0A7F"/>
    <w:rsid w:val="00EF184C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3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3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2304-3A82-4632-BCF9-83F49385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2019-08-14T13:50:00Z</cp:lastPrinted>
  <dcterms:created xsi:type="dcterms:W3CDTF">2019-08-14T14:29:00Z</dcterms:created>
  <dcterms:modified xsi:type="dcterms:W3CDTF">2019-08-14T14:29:00Z</dcterms:modified>
</cp:coreProperties>
</file>